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864 - ОД от 08.12.2025</w:t>
      </w:r>
    </w:p>
    <w:p w:rsidR="00484F84" w:rsidRPr="00036359" w:rsidRDefault="00484F84" w:rsidP="00484F84">
      <w:pPr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484F84" w:rsidRPr="00812449" w:rsidRDefault="00484F84" w:rsidP="00484F84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484F84" w:rsidRPr="00EA32DE" w:rsidRDefault="00484F84" w:rsidP="00484F84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484F84" w:rsidRPr="00B146BD" w:rsidRDefault="00484F84" w:rsidP="00484F84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 xml:space="preserve">В целях организации и проведения </w:t>
      </w:r>
      <w:r>
        <w:rPr>
          <w:b w:val="0"/>
          <w:sz w:val="26"/>
          <w:szCs w:val="26"/>
          <w:lang w:val="kk-KZ"/>
        </w:rPr>
        <w:t xml:space="preserve">повторного </w:t>
      </w:r>
      <w:r w:rsidRPr="00EA32DE">
        <w:rPr>
          <w:b w:val="0"/>
          <w:sz w:val="26"/>
          <w:szCs w:val="26"/>
        </w:rPr>
        <w:t>конкурса на предоставление в аренду площади для размещения пункта общественного питания (кафе)</w:t>
      </w:r>
      <w:r>
        <w:rPr>
          <w:b w:val="0"/>
          <w:sz w:val="26"/>
          <w:szCs w:val="26"/>
          <w:lang w:val="kk-KZ"/>
        </w:rPr>
        <w:t>,</w:t>
      </w:r>
      <w:r w:rsidRPr="003D4A54">
        <w:rPr>
          <w:b w:val="0"/>
          <w:bCs w:val="0"/>
          <w:sz w:val="26"/>
          <w:szCs w:val="26"/>
        </w:rPr>
        <w:t xml:space="preserve"> </w:t>
      </w:r>
      <w:r w:rsidRPr="003D4A54">
        <w:rPr>
          <w:b w:val="0"/>
          <w:sz w:val="26"/>
          <w:szCs w:val="26"/>
        </w:rPr>
        <w:t>создать конкурсную комиссию в следующем составе: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Заместитель 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  <w:bookmarkStart w:id="0" w:name="_GoBack"/>
      <w:bookmarkEnd w:id="0"/>
    </w:p>
    <w:p w:rsidR="00484F84" w:rsidRDefault="00484F84" w:rsidP="00484F84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484F84" w:rsidRPr="00F254E9" w:rsidRDefault="00484F84" w:rsidP="00484F84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Начальник отдела по управлению                                                                       персоналом и документационному      обеспечению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kk-KZ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Турмахан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Адеми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Болаткызы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                                                   Начальника АХО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6B022D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 w:rsidRPr="00BF4330">
        <w:rPr>
          <w:b w:val="0"/>
          <w:bCs w:val="0"/>
          <w:sz w:val="26"/>
          <w:szCs w:val="26"/>
        </w:rPr>
        <w:t>Әлиайдар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Нұрдана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Әлиайдарқызы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Менеджер по развитию и маркетинга</w:t>
      </w:r>
    </w:p>
    <w:p w:rsidR="00484F84" w:rsidRPr="005117D9" w:rsidRDefault="00484F84" w:rsidP="00484F84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Pr="005117D9">
        <w:rPr>
          <w:b w:val="0"/>
          <w:bCs w:val="0"/>
          <w:sz w:val="26"/>
          <w:szCs w:val="26"/>
        </w:rPr>
        <w:t>на</w:t>
      </w:r>
      <w:proofErr w:type="gramEnd"/>
      <w:r w:rsidRPr="005117D9">
        <w:rPr>
          <w:b w:val="0"/>
          <w:bCs w:val="0"/>
          <w:sz w:val="26"/>
          <w:szCs w:val="26"/>
        </w:rPr>
        <w:t xml:space="preserve"> менеджера по развитию и маркетингу – </w:t>
      </w:r>
      <w:proofErr w:type="spellStart"/>
      <w:r w:rsidRPr="005117D9">
        <w:rPr>
          <w:b w:val="0"/>
          <w:bCs w:val="0"/>
          <w:sz w:val="26"/>
          <w:szCs w:val="26"/>
        </w:rPr>
        <w:t>Әлиайдар</w:t>
      </w:r>
      <w:proofErr w:type="spellEnd"/>
      <w:r w:rsidRPr="005117D9">
        <w:rPr>
          <w:b w:val="0"/>
          <w:bCs w:val="0"/>
          <w:sz w:val="26"/>
          <w:szCs w:val="26"/>
        </w:rPr>
        <w:t xml:space="preserve"> Н.Ә.</w:t>
      </w:r>
    </w:p>
    <w:p w:rsidR="00484F84" w:rsidRPr="00EA32DE" w:rsidRDefault="00484F84" w:rsidP="00484F84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484F8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11:12 Токабаева Раушан Абдыкадыровна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16:21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864 - ОД от 08.12.2025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MIIPnAYJ...o+jBiKA==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08.12.2025 11:12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MIIPsgYJ...0yj7sCi8=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08.12.2025 16:21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5E" w:rsidRDefault="0002015E" w:rsidP="006F0F13">
      <w:r>
        <w:separator/>
      </w:r>
    </w:p>
  </w:endnote>
  <w:endnote w:type="continuationSeparator" w:id="0">
    <w:p w:rsidR="0002015E" w:rsidRDefault="0002015E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09.12.2025 09:34.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09.12.2025 09:34.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5E" w:rsidRDefault="0002015E" w:rsidP="006F0F13">
      <w:r>
        <w:separator/>
      </w:r>
    </w:p>
  </w:footnote>
  <w:footnote w:type="continuationSeparator" w:id="0">
    <w:p w:rsidR="0002015E" w:rsidRDefault="0002015E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484F84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A37A70"/>
    <w:rsid w:val="00B91B6F"/>
    <w:rsid w:val="00C36E34"/>
    <w:rsid w:val="00CE42CD"/>
    <w:rsid w:val="00DB41C2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43" Type="http://schemas.openxmlformats.org/officeDocument/2006/relationships/image" Target="media/image943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3</cp:revision>
  <dcterms:created xsi:type="dcterms:W3CDTF">2025-11-17T07:48:00Z</dcterms:created>
  <dcterms:modified xsi:type="dcterms:W3CDTF">2025-11-17T07:54:00Z</dcterms:modified>
</cp:coreProperties>
</file>