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177 - ОД от 07.04.2025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A95095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</w:t>
      </w:r>
      <w:bookmarkStart w:id="0" w:name="_GoBack"/>
      <w:bookmarkEnd w:id="0"/>
      <w:r w:rsidRPr="00EA32DE">
        <w:rPr>
          <w:b w:val="0"/>
          <w:sz w:val="26"/>
          <w:szCs w:val="26"/>
        </w:rPr>
        <w:t>ия</w:t>
      </w:r>
      <w:r w:rsidR="00234A6A">
        <w:rPr>
          <w:b w:val="0"/>
          <w:sz w:val="26"/>
          <w:szCs w:val="26"/>
          <w:lang w:val="kk-KZ"/>
        </w:rPr>
        <w:t xml:space="preserve"> повторного</w:t>
      </w:r>
      <w:r w:rsidRPr="00EA32DE">
        <w:rPr>
          <w:b w:val="0"/>
          <w:sz w:val="26"/>
          <w:szCs w:val="26"/>
        </w:rPr>
        <w:t xml:space="preserve"> конкурса на предоставление в аренду площади для размещения пункта </w:t>
      </w:r>
      <w:r w:rsidR="00035751" w:rsidRPr="00035751">
        <w:rPr>
          <w:b w:val="0"/>
          <w:sz w:val="26"/>
          <w:szCs w:val="26"/>
        </w:rPr>
        <w:t>общественного питания (</w:t>
      </w:r>
      <w:r w:rsidR="00035751" w:rsidRPr="00035751">
        <w:rPr>
          <w:b w:val="0"/>
          <w:sz w:val="26"/>
          <w:szCs w:val="26"/>
          <w:lang w:val="kk-KZ"/>
        </w:rPr>
        <w:t>бар-</w:t>
      </w:r>
      <w:proofErr w:type="gramStart"/>
      <w:r w:rsidR="00035751" w:rsidRPr="00035751">
        <w:rPr>
          <w:b w:val="0"/>
          <w:sz w:val="26"/>
          <w:szCs w:val="26"/>
          <w:lang w:val="kk-KZ"/>
        </w:rPr>
        <w:t>буфет,кафе</w:t>
      </w:r>
      <w:proofErr w:type="gramEnd"/>
      <w:r w:rsidR="00035751" w:rsidRPr="00035751">
        <w:rPr>
          <w:b w:val="0"/>
          <w:sz w:val="26"/>
          <w:szCs w:val="26"/>
        </w:rPr>
        <w:t>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553B951A" w14:textId="58646B05" w:rsidR="00EA32DE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1F6A7210" w14:textId="77777777" w:rsidR="000077E4" w:rsidRPr="00EA32DE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7FDD4F50" w14:textId="5FF7FEF0" w:rsidR="00ED0DFC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</w:rPr>
        <w:t>Мырзахметов Б</w:t>
      </w:r>
      <w:r w:rsidR="000077E4">
        <w:rPr>
          <w:sz w:val="26"/>
          <w:szCs w:val="26"/>
          <w:lang w:val="kk-KZ"/>
        </w:rPr>
        <w:t>ерик Мусулимович - Начальник</w:t>
      </w:r>
      <w:r w:rsidR="000077E4" w:rsidRPr="000077E4">
        <w:rPr>
          <w:sz w:val="26"/>
          <w:szCs w:val="26"/>
          <w:lang w:val="kk-KZ"/>
        </w:rPr>
        <w:t xml:space="preserve"> юридического и договорного отдела</w:t>
      </w:r>
    </w:p>
    <w:p w14:paraId="4D185F50" w14:textId="77777777" w:rsidR="000077E4" w:rsidRPr="000077E4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60030724" w14:textId="30453419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 xml:space="preserve">Ұлжан Бахытжанқызы – </w:t>
      </w:r>
      <w:r w:rsidR="000077E4">
        <w:rPr>
          <w:sz w:val="26"/>
          <w:szCs w:val="26"/>
          <w:lang w:val="kk-KZ"/>
        </w:rPr>
        <w:t>Н</w:t>
      </w:r>
      <w:r w:rsidRPr="00EA32DE">
        <w:rPr>
          <w:sz w:val="26"/>
          <w:szCs w:val="26"/>
          <w:lang w:val="kk-KZ"/>
        </w:rPr>
        <w:t>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316A10EF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</w:t>
      </w:r>
      <w:r w:rsidR="000077E4">
        <w:rPr>
          <w:sz w:val="26"/>
          <w:szCs w:val="26"/>
          <w:lang w:val="kk-KZ"/>
        </w:rPr>
        <w:t>Н</w:t>
      </w:r>
      <w:r w:rsidR="007449E7" w:rsidRPr="00EA32DE">
        <w:rPr>
          <w:sz w:val="26"/>
          <w:szCs w:val="26"/>
          <w:lang w:val="kk-KZ"/>
        </w:rPr>
        <w:t>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621CB985" w:rsidR="00B94D95" w:rsidRPr="00164F0D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031D5">
        <w:rPr>
          <w:b w:val="0"/>
          <w:bCs w:val="0"/>
          <w:sz w:val="28"/>
          <w:szCs w:val="28"/>
        </w:rPr>
        <w:t>на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менеджера по развитию и маркетингу – </w:t>
      </w:r>
      <w:proofErr w:type="spellStart"/>
      <w:r w:rsidR="00164F0D" w:rsidRPr="005031D5">
        <w:rPr>
          <w:b w:val="0"/>
          <w:bCs w:val="0"/>
          <w:sz w:val="28"/>
          <w:szCs w:val="28"/>
        </w:rPr>
        <w:t>Әлиайдар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16:57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17:15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17:28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177 - ОД от 07.04.2025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16:57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MIIPtwYJ...3Al5GNQ==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17:15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MIIPtgYJ...4Lb8dS4SC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17:28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0D17F" w14:textId="77777777" w:rsidR="00B456EB" w:rsidRDefault="00B456EB" w:rsidP="008638F0">
      <w:r>
        <w:separator/>
      </w:r>
    </w:p>
  </w:endnote>
  <w:endnote w:type="continuationSeparator" w:id="0">
    <w:p w14:paraId="54C85572" w14:textId="77777777" w:rsidR="00B456EB" w:rsidRDefault="00B456EB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17:55.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17:55.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1A9A" w14:textId="77777777" w:rsidR="00B456EB" w:rsidRDefault="00B456EB" w:rsidP="008638F0">
      <w:r>
        <w:separator/>
      </w:r>
    </w:p>
  </w:footnote>
  <w:footnote w:type="continuationSeparator" w:id="0">
    <w:p w14:paraId="2361FE8F" w14:textId="77777777" w:rsidR="00B456EB" w:rsidRDefault="00B456EB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234A6A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5751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34A6A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594B4E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56EB"/>
    <w:rsid w:val="00B4699C"/>
    <w:rsid w:val="00B56CF7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32" Type="http://schemas.openxmlformats.org/officeDocument/2006/relationships/image" Target="media/image932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24</cp:revision>
  <cp:lastPrinted>2025-02-07T07:31:00Z</cp:lastPrinted>
  <dcterms:created xsi:type="dcterms:W3CDTF">2025-03-03T05:54:00Z</dcterms:created>
  <dcterms:modified xsi:type="dcterms:W3CDTF">2025-04-07T11:50:00Z</dcterms:modified>
</cp:coreProperties>
</file>